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41012" w:rsidRPr="00841012" w:rsidP="006B2339">
      <w:pPr>
        <w:numPr>
          <w:ilvl w:val="0"/>
          <w:numId w:val="0"/>
        </w:numPr>
        <w:spacing w:line="259" w:lineRule="auto"/>
        <w:ind w:left="360"/>
        <w:jc w:val="center"/>
        <w:rPr>
          <w:rFonts w:eastAsia="Calibri" w:cs="Times New Roman"/>
          <w:b/>
          <w:iCs/>
          <w:sz w:val="24"/>
          <w:szCs w:val="28"/>
          <w:lang w:eastAsia="en-US"/>
        </w:rPr>
      </w:pPr>
      <w:r w:rsidRPr="00841012">
        <w:rPr>
          <w:rFonts w:eastAsia="Calibri" w:cs="Times New Roman"/>
          <w:b/>
          <w:iCs/>
          <w:sz w:val="24"/>
          <w:szCs w:val="28"/>
          <w:lang w:eastAsia="en-US"/>
        </w:rPr>
        <w:t xml:space="preserve">Written evidence submitted by </w:t>
      </w:r>
      <w:r w:rsidRPr="00841012">
        <w:rPr>
          <w:rFonts w:eastAsia="Calibri" w:cs="Times New Roman"/>
          <w:b/>
          <w:iCs/>
          <w:sz w:val="24"/>
          <w:szCs w:val="28"/>
          <w:lang w:eastAsia="en-US"/>
        </w:rPr>
        <w:t>Royal Statistical Society</w:t>
      </w:r>
      <w:r w:rsidRPr="00841012">
        <w:rPr>
          <w:rFonts w:eastAsia="Calibri" w:cs="Times New Roman"/>
          <w:b/>
          <w:iCs/>
          <w:sz w:val="24"/>
          <w:szCs w:val="28"/>
          <w:lang w:eastAsia="en-US"/>
        </w:rPr>
        <w:t xml:space="preserve"> (CPS0068)</w:t>
      </w:r>
    </w:p>
    <w:p w:rsidR="00841012" w:rsidP="004210AA">
      <w:pPr>
        <w:pStyle w:val="Heading1"/>
        <w:rPr>
          <w:lang w:eastAsia="en-US"/>
        </w:rPr>
      </w:pPr>
      <w:r w:rsidRPr="00C07D21">
        <w:rPr>
          <w:lang w:eastAsia="en-US"/>
        </w:rPr>
        <w:t> Introduction</w:t>
      </w:r>
    </w:p>
    <w:p w:rsidR="00841012" w:rsidP="004210AA">
      <w:pPr>
        <w:rPr>
          <w:b/>
          <w:lang w:eastAsia="en-US"/>
        </w:rPr>
      </w:pPr>
      <w:r w:rsidRPr="00C07D21">
        <w:rPr>
          <w:lang w:eastAsia="en-US"/>
        </w:rPr>
        <w:t>This is the Royal Statistical Society’s (RSS) response to the inquiry of the Education and Work and Pensions Select Committees regarding the government’s Child Poverty Strategy. The RSS is the membership organisation for statisticians and data professionals, with over 12,000 members. We represent the views and expertise of our members – our charitable objectives are to promote the use of data and evidence in decision-making and to promote public understanding of statistics and data.</w:t>
      </w:r>
    </w:p>
    <w:p w:rsidR="00841012" w:rsidP="004210AA">
      <w:pPr>
        <w:rPr>
          <w:b/>
          <w:lang w:eastAsia="en-US"/>
        </w:rPr>
      </w:pPr>
      <w:r w:rsidRPr="00C07D21">
        <w:rPr>
          <w:rFonts w:eastAsia="Calibri" w:cs="Times New Roman"/>
          <w:bCs/>
          <w:iCs/>
          <w:lang w:eastAsia="en-US"/>
        </w:rPr>
        <w:t>In line with our mission to promote the use of data for the public interest, the RSS has recently partnered with the Centre for Public Data to research data gaps that affect poverty research in the UK. This work is funded by the Joseph Rowntree Foundation’s (JRF) Insight Infrastructure team, which aims to democratise access to high-quality quantitative and qualitative data and evidence through open collaboration and innovation, working towards a more equitable and just future, free from poverty.</w:t>
      </w:r>
    </w:p>
    <w:p w:rsidR="00841012" w:rsidP="004210AA">
      <w:pPr>
        <w:rPr>
          <w:b/>
          <w:lang w:eastAsia="en-US"/>
        </w:rPr>
      </w:pPr>
      <w:r w:rsidRPr="00C07D21">
        <w:rPr>
          <w:rFonts w:eastAsia="Calibri" w:cs="Times New Roman"/>
          <w:bCs/>
          <w:iCs/>
          <w:lang w:eastAsia="en-US"/>
        </w:rPr>
        <w:t>Drawing on our research to date, some of which is summarised in</w:t>
      </w:r>
      <w:r>
        <w:fldChar w:fldCharType="begin"/>
      </w:r>
      <w:r>
        <w:instrText xml:space="preserve"> HYPERLINK "https://rss.org.uk/RSS/media/File-library/Policy/2026/Final-Version-logo-Poverty-Data-Gaps-Interim-Summary-Report.pdf" </w:instrText>
      </w:r>
      <w:r>
        <w:fldChar w:fldCharType="separate"/>
      </w:r>
      <w:r w:rsidRPr="00C07D21">
        <w:rPr>
          <w:rStyle w:val="Hyperlink"/>
          <w:rFonts w:eastAsia="Calibri" w:cs="Times New Roman"/>
          <w:bCs/>
          <w:iCs/>
          <w:lang w:eastAsia="en-US"/>
        </w:rPr>
        <w:t xml:space="preserve"> an interim report</w:t>
      </w:r>
      <w:r>
        <w:fldChar w:fldCharType="end"/>
      </w:r>
      <w:r w:rsidRPr="00C07D21">
        <w:rPr>
          <w:rFonts w:eastAsia="Calibri" w:cs="Times New Roman"/>
          <w:bCs/>
          <w:iCs/>
          <w:lang w:eastAsia="en-US"/>
        </w:rPr>
        <w:t xml:space="preserve"> we published in January, </w:t>
      </w:r>
      <w:r>
        <w:rPr>
          <w:rFonts w:eastAsia="Calibri" w:cs="Times New Roman"/>
          <w:bCs/>
          <w:iCs/>
          <w:lang w:eastAsia="en-US"/>
        </w:rPr>
        <w:t>this RSS</w:t>
      </w:r>
      <w:r w:rsidRPr="00C07D21">
        <w:rPr>
          <w:rFonts w:eastAsia="Calibri" w:cs="Times New Roman"/>
          <w:bCs/>
          <w:iCs/>
          <w:lang w:eastAsia="en-US"/>
        </w:rPr>
        <w:t xml:space="preserve"> response seeks to highlight the following points of relevance to the evaluation of the Child Poverty Strategy:</w:t>
      </w:r>
    </w:p>
    <w:p w:rsidR="00841012" w:rsidRPr="00CC747C" w:rsidP="004B40C2">
      <w:pPr>
        <w:numPr>
          <w:ilvl w:val="2"/>
          <w:numId w:val="29"/>
        </w:numPr>
        <w:ind w:left="1134"/>
        <w:rPr>
          <w:lang w:eastAsia="en-US"/>
        </w:rPr>
      </w:pPr>
      <w:r w:rsidRPr="00F84BFB">
        <w:rPr>
          <w:b/>
          <w:bCs/>
          <w:lang w:eastAsia="en-US"/>
        </w:rPr>
        <w:t>The importance of civil society for accountability and evaluation of the Strategy:</w:t>
      </w:r>
      <w:r w:rsidRPr="00CC747C">
        <w:rPr>
          <w:lang w:eastAsia="en-US"/>
        </w:rPr>
        <w:t xml:space="preserve"> the UK has a rich community of anti-poverty researchers, advocates, and frontline interventionists working to achieve the shared objectives of the Strategy. The Strategy will be strengthened if broader civil society is proactively supported to access the data that will enable it to contribute to evaluation of its aims and impact.</w:t>
      </w:r>
    </w:p>
    <w:p w:rsidR="00841012" w:rsidRPr="00CC747C" w:rsidP="004B40C2">
      <w:pPr>
        <w:numPr>
          <w:ilvl w:val="2"/>
          <w:numId w:val="29"/>
        </w:numPr>
        <w:ind w:left="1134"/>
        <w:rPr>
          <w:lang w:eastAsia="en-US"/>
        </w:rPr>
      </w:pPr>
      <w:r w:rsidRPr="00F84BFB">
        <w:rPr>
          <w:b/>
          <w:bCs/>
          <w:lang w:eastAsia="en-US"/>
        </w:rPr>
        <w:t xml:space="preserve">Gaps in data access for public-interest research: </w:t>
      </w:r>
      <w:r w:rsidRPr="00CC747C">
        <w:rPr>
          <w:lang w:eastAsia="en-US"/>
        </w:rPr>
        <w:t>despite the existence of highly promising linked administrative datasets that could benefit poverty research, many poverty data users struggle to access them: especially those working in the charity sector. Barriers to data access limit the ability to effectively evaluate the various policies included within the Child Poverty Strategy. Wherever possible, steps should be taken to foster a more inclusive data sharing regime for research that is in the public interest.</w:t>
      </w:r>
    </w:p>
    <w:p w:rsidR="00841012" w:rsidRPr="00CC747C" w:rsidP="004B40C2">
      <w:pPr>
        <w:numPr>
          <w:ilvl w:val="2"/>
          <w:numId w:val="29"/>
        </w:numPr>
        <w:ind w:left="1134"/>
        <w:rPr>
          <w:rFonts w:ascii="Arial" w:hAnsi="Arial"/>
          <w:lang w:eastAsia="en-US"/>
        </w:rPr>
      </w:pPr>
      <w:r w:rsidRPr="00F84BFB">
        <w:rPr>
          <w:rFonts w:eastAsia="Calibri" w:cs="Times New Roman"/>
          <w:b/>
          <w:bCs/>
          <w:iCs/>
          <w:lang w:eastAsia="en-US"/>
        </w:rPr>
        <w:t xml:space="preserve">The critical importance of supporting use of poverty data by researchers outside of government: </w:t>
      </w:r>
      <w:r w:rsidRPr="00CC747C">
        <w:rPr>
          <w:rFonts w:eastAsia="Calibri" w:cs="Times New Roman"/>
          <w:iCs/>
          <w:lang w:eastAsia="en-US"/>
        </w:rPr>
        <w:t>the government should open up avenues of data access that are currently closed to many of the people who could use it. Smart investments in and stewardship of the statistical system are of central importance for achieving many policy objectives, including those expressed in the Child Poverty Strategy.</w:t>
      </w:r>
    </w:p>
    <w:p w:rsidR="00841012" w:rsidRPr="00CC747C" w:rsidP="00CC747C">
      <w:pPr>
        <w:rPr>
          <w:lang w:eastAsia="en-US"/>
        </w:rPr>
      </w:pPr>
      <w:r w:rsidRPr="00CC747C">
        <w:rPr>
          <w:lang w:eastAsia="en-US"/>
        </w:rPr>
        <w:t>We support the broad aims of the Child Poverty Strategy, although we do not take a view on the expected implications of any of its specific policies. Rather, we consider the UK’s data infrastructure that undergirds policy evaluation and comment on where improvements might be made to help support the evaluation of the Strategy.</w:t>
      </w:r>
    </w:p>
    <w:p w:rsidR="00841012" w:rsidP="00B25FE1">
      <w:pPr>
        <w:pStyle w:val="Heading1"/>
        <w:rPr>
          <w:lang w:eastAsia="en-US"/>
        </w:rPr>
      </w:pPr>
      <w:r w:rsidRPr="00C07D21">
        <w:rPr>
          <w:lang w:eastAsia="en-US"/>
        </w:rPr>
        <w:t>What is your view of the Government's proposed 'Monitoring and Evaluation Framework' for the Child Poverty Strategy? How could it be improved?</w:t>
      </w:r>
    </w:p>
    <w:p w:rsidR="00841012" w:rsidP="00970F73">
      <w:pPr>
        <w:rPr>
          <w:b/>
          <w:lang w:eastAsia="en-US"/>
        </w:rPr>
      </w:pPr>
      <w:r w:rsidRPr="00C07D21">
        <w:rPr>
          <w:lang w:eastAsia="en-US"/>
        </w:rPr>
        <w:t>We welcome the inclusion of a measure of deep material poverty in the analysis plans for the Strategy Level Evaluation outlined in the Framework. It is important to take account of the varying ways that poverty can be understood and measured, so including indicators beyond relative low income after housing costs is appropriate. Moreover, we recognise the reasons behind wanting to use a small set of specific, quantifiable indicators for evaluating the overall performance of the Strategy. </w:t>
      </w:r>
    </w:p>
    <w:p w:rsidR="00841012" w:rsidP="00970F73">
      <w:pPr>
        <w:rPr>
          <w:b/>
          <w:lang w:eastAsia="en-US"/>
        </w:rPr>
      </w:pPr>
      <w:r w:rsidRPr="00C07D21">
        <w:rPr>
          <w:rFonts w:eastAsia="Calibri" w:cs="Times New Roman"/>
          <w:bCs/>
          <w:iCs/>
          <w:lang w:eastAsia="en-US"/>
        </w:rPr>
        <w:t>In addition to its proposed measures, the Framework should consider taking a more expansive view of household wellbeing, to potentially include explicit measures of household wealth or liquid savings, among others. It should also consider examining more nuanced views of poverty, such as the rate of children living in households experiencing in-work poverty or homelessness.</w:t>
      </w:r>
    </w:p>
    <w:p w:rsidR="00841012" w:rsidP="00970F73">
      <w:pPr>
        <w:rPr>
          <w:b/>
          <w:lang w:eastAsia="en-US"/>
        </w:rPr>
      </w:pPr>
      <w:r w:rsidRPr="00C07D21">
        <w:rPr>
          <w:rFonts w:eastAsia="Calibri" w:cs="Times New Roman"/>
          <w:bCs/>
          <w:iCs/>
          <w:lang w:eastAsia="en-US"/>
        </w:rPr>
        <w:t>However, our view is that the Framework lacks a more important element for ensuring the long-term, sustainable, and robust evaluation of the Strategy. Specifically, it neglects the role of researchers outside of government in accomplishing that objective. Although “external experts with subject expertise” are referenced briefly on page 9 of the Framework, there are few details as to what involvement of that group will look like. We are also concerned that the Framework makes no reference to systematically e</w:t>
      </w:r>
      <w:r w:rsidRPr="00C07D21">
        <w:rPr>
          <w:rFonts w:eastAsia="Calibri" w:cs="Times New Roman"/>
          <w:bCs/>
          <w:iCs/>
          <w:lang w:eastAsia="en-US"/>
        </w:rPr>
        <w:t>nabling robust and independent evaluation of child poverty data by stakeholders outside of government beyond the paragraph just mentioned. </w:t>
      </w:r>
    </w:p>
    <w:p w:rsidR="00841012" w:rsidP="00970F73">
      <w:pPr>
        <w:rPr>
          <w:b/>
          <w:lang w:eastAsia="en-US"/>
        </w:rPr>
      </w:pPr>
      <w:r w:rsidRPr="00C07D21">
        <w:rPr>
          <w:rFonts w:eastAsia="Calibri" w:cs="Times New Roman"/>
          <w:bCs/>
          <w:iCs/>
          <w:lang w:eastAsia="en-US"/>
        </w:rPr>
        <w:t>For that sort of independent work to take place, researchers outside of government need to be able to securely access the best data in a flexible way. The highest-quality data in the UK for tracking poverty and living standards exist in administrative datasets held within government departments like DWP and HMRC, among others. Generally, the value of these datasets are maximised when multiple of them are linked with each other (and sometimes with surveys) such that we get a more comprehensive picture of the</w:t>
      </w:r>
      <w:r w:rsidRPr="00C07D21">
        <w:rPr>
          <w:rFonts w:eastAsia="Calibri" w:cs="Times New Roman"/>
          <w:bCs/>
          <w:iCs/>
          <w:lang w:eastAsia="en-US"/>
        </w:rPr>
        <w:t xml:space="preserve"> individuals and households about whom they hold information.</w:t>
      </w:r>
    </w:p>
    <w:p w:rsidR="00841012" w:rsidP="00970F73">
      <w:pPr>
        <w:rPr>
          <w:b/>
          <w:lang w:eastAsia="en-US"/>
        </w:rPr>
      </w:pPr>
      <w:r w:rsidRPr="00C07D21">
        <w:rPr>
          <w:rFonts w:eastAsia="Calibri" w:cs="Times New Roman"/>
          <w:bCs/>
          <w:iCs/>
          <w:lang w:eastAsia="en-US"/>
        </w:rPr>
        <w:t>Datasets fitting that description are generally only available in Trusted Research Environments (TREs) like the ONS Secure Research Service. These are typically highly secure spaces set up for accredited researchers to access data for specific, pre-planned and approved projects. </w:t>
      </w:r>
    </w:p>
    <w:p w:rsidR="00841012" w:rsidP="00970F73">
      <w:pPr>
        <w:rPr>
          <w:b/>
          <w:lang w:eastAsia="en-US"/>
        </w:rPr>
      </w:pPr>
      <w:r w:rsidRPr="00C07D21">
        <w:rPr>
          <w:rFonts w:eastAsia="Calibri" w:cs="Times New Roman"/>
          <w:bCs/>
          <w:iCs/>
          <w:lang w:eastAsia="en-US"/>
        </w:rPr>
        <w:t>Currently, the primary users of administrative data held in TREs are academic researchers. We believe that this is an essential user group to have engaged in policy evaluation activity, and we hope that the Monitoring and Evaluation Framework will develop more explicit plans for involving them. At the same time, we would like to see the Framework and Strategy develop specific and ambitious plans for how to enable analysis of poverty data by non-academic groups.</w:t>
      </w:r>
    </w:p>
    <w:p w:rsidR="00841012" w:rsidP="00970F73">
      <w:pPr>
        <w:rPr>
          <w:b/>
          <w:lang w:eastAsia="en-US"/>
        </w:rPr>
      </w:pPr>
      <w:r w:rsidRPr="00C07D21">
        <w:rPr>
          <w:rFonts w:eastAsia="Calibri" w:cs="Times New Roman"/>
          <w:bCs/>
          <w:iCs/>
          <w:lang w:eastAsia="en-US"/>
        </w:rPr>
        <w:t>Such efforts should consider ways in which administrative data held in TREs might be made more accessible or useful to researchers outside of government and academia. This could involve opening up routes for those groups to directly access the data themselves, potentially via the explicit recognition of clarified or new legal permissive data sharing gateways in or alongside those established by the Digital Economy Act 2017.</w:t>
      </w:r>
    </w:p>
    <w:p w:rsidR="00841012" w:rsidP="00705243">
      <w:pPr>
        <w:rPr>
          <w:b/>
          <w:lang w:eastAsia="en-US"/>
        </w:rPr>
      </w:pPr>
      <w:r w:rsidRPr="00C07D21">
        <w:rPr>
          <w:rFonts w:eastAsia="Calibri" w:cs="Times New Roman"/>
          <w:bCs/>
          <w:iCs/>
          <w:lang w:eastAsia="en-US"/>
        </w:rPr>
        <w:t>Alternatively, indirect access mechanisms should be considered. Currently, many researchers lack the in-house capacity or resources to conduct their own advanced research using (often complex) data in TREs. However, there may be space for an “intermediary” role to be played by government or academic analysts who have access to the data. There are many possible models for how such an arrangement might work. The important point is that the Framework ought to think creatively about how to foster evaluative cap</w:t>
      </w:r>
      <w:r w:rsidRPr="00C07D21">
        <w:rPr>
          <w:rFonts w:eastAsia="Calibri" w:cs="Times New Roman"/>
          <w:bCs/>
          <w:iCs/>
          <w:lang w:eastAsia="en-US"/>
        </w:rPr>
        <w:t>acity among the poverty research and alleviation community.</w:t>
      </w:r>
    </w:p>
    <w:p w:rsidR="00841012" w:rsidRPr="00C07D21" w:rsidP="00705243">
      <w:pPr>
        <w:rPr>
          <w:rFonts w:ascii="Arial" w:hAnsi="Arial"/>
          <w:b/>
          <w:lang w:eastAsia="en-US"/>
        </w:rPr>
      </w:pPr>
      <w:r w:rsidRPr="00C07D21">
        <w:rPr>
          <w:rFonts w:eastAsia="Calibri" w:cs="Times New Roman"/>
          <w:bCs/>
          <w:iCs/>
          <w:lang w:eastAsia="en-US"/>
        </w:rPr>
        <w:t>The Framework should explicitly address data access needs and set out an ambitious plan for enabling independent evaluation of the Strategy from as diverse a user community as possible.</w:t>
      </w:r>
    </w:p>
    <w:p w:rsidR="00841012" w:rsidP="00705243">
      <w:pPr>
        <w:pStyle w:val="Heading1"/>
        <w:rPr>
          <w:lang w:eastAsia="en-US"/>
        </w:rPr>
      </w:pPr>
      <w:r w:rsidRPr="00C07D21">
        <w:rPr>
          <w:lang w:eastAsia="en-US"/>
        </w:rPr>
        <w:t>How should the Government support the monitoring and evaluation of actions to reduce child poverty at the local level, and across different protected characteristics? What data is either available or necessary to achieve this?</w:t>
      </w:r>
    </w:p>
    <w:p w:rsidR="00841012" w:rsidP="00705243">
      <w:pPr>
        <w:rPr>
          <w:b/>
          <w:lang w:eastAsia="en-US"/>
        </w:rPr>
      </w:pPr>
      <w:r w:rsidRPr="00705243">
        <w:rPr>
          <w:lang w:eastAsia="en-US"/>
        </w:rPr>
        <w:t>As discussed in section 2 of this submission, the UK already has a wealth of data that could be leveraged for monitoring and evaluating actions to reduce child poverty. There may be a benefit to collection of new data, if done strategically, but much can be achieved by improving data access routes for a wider range of researchers.</w:t>
      </w:r>
    </w:p>
    <w:p w:rsidR="00841012" w:rsidP="00705243">
      <w:pPr>
        <w:rPr>
          <w:b/>
          <w:lang w:eastAsia="en-US"/>
        </w:rPr>
      </w:pPr>
      <w:r w:rsidRPr="00C07D21">
        <w:rPr>
          <w:lang w:eastAsia="en-US"/>
        </w:rPr>
        <w:t>Unfortunately, in our research we identified that the current TRE model in the UK suffers from some significant problems from the perspective of public-interest research, which we take to include evaluation of child poverty and policies to reduce it. These include: </w:t>
      </w:r>
    </w:p>
    <w:p w:rsidR="00841012" w:rsidRPr="00705243" w:rsidP="00AE2BDC">
      <w:pPr>
        <w:numPr>
          <w:ilvl w:val="2"/>
          <w:numId w:val="30"/>
        </w:numPr>
        <w:ind w:left="1134"/>
        <w:rPr>
          <w:rFonts w:ascii="Arial" w:hAnsi="Arial"/>
          <w:b/>
          <w:lang w:eastAsia="en-US"/>
        </w:rPr>
      </w:pPr>
      <w:r w:rsidRPr="00C07D21">
        <w:rPr>
          <w:lang w:eastAsia="en-US"/>
        </w:rPr>
        <w:t>The process for getting projects green-lit can take many months or even years. Even repeated applications by reputable researchers and organisations can take considerable time, and most organisations working on poverty do not have the time or luxury of waiting for this long to get data.</w:t>
      </w:r>
    </w:p>
    <w:p w:rsidR="00841012" w:rsidRPr="00705243" w:rsidP="00AE2BDC">
      <w:pPr>
        <w:numPr>
          <w:ilvl w:val="2"/>
          <w:numId w:val="30"/>
        </w:numPr>
        <w:ind w:left="1134"/>
        <w:rPr>
          <w:rFonts w:ascii="Arial" w:hAnsi="Arial"/>
          <w:b/>
          <w:lang w:eastAsia="en-US"/>
        </w:rPr>
      </w:pPr>
      <w:r w:rsidRPr="00705243">
        <w:rPr>
          <w:rFonts w:eastAsia="Calibri" w:cs="Times New Roman"/>
          <w:bCs/>
          <w:iCs/>
          <w:lang w:eastAsia="en-US"/>
        </w:rPr>
        <w:t>Decisions taken to approve or reject applications are often opaque, with little data published regarding typical timelines to decisions or the reasons for rejection.</w:t>
      </w:r>
    </w:p>
    <w:p w:rsidR="00841012" w:rsidRPr="00705243" w:rsidP="00AE2BDC">
      <w:pPr>
        <w:numPr>
          <w:ilvl w:val="2"/>
          <w:numId w:val="30"/>
        </w:numPr>
        <w:ind w:left="1134"/>
        <w:rPr>
          <w:rFonts w:ascii="Arial" w:hAnsi="Arial"/>
          <w:b/>
          <w:lang w:eastAsia="en-US"/>
        </w:rPr>
      </w:pPr>
      <w:r w:rsidRPr="00705243">
        <w:rPr>
          <w:rFonts w:eastAsia="Calibri" w:cs="Times New Roman"/>
          <w:bCs/>
          <w:iCs/>
          <w:lang w:eastAsia="en-US"/>
        </w:rPr>
        <w:t>What counts as “research” for the purpose of a project application is understood by government departments and bodies responsible for approving applications to be relatively narrow. It typically sits within the realm of academic inquiry to the exclusion of work that would support more agile or practical frontline anti-poverty efforts.</w:t>
      </w:r>
    </w:p>
    <w:p w:rsidR="00841012" w:rsidP="00705243">
      <w:pPr>
        <w:rPr>
          <w:b/>
          <w:lang w:eastAsia="en-US"/>
        </w:rPr>
      </w:pPr>
      <w:r w:rsidRPr="00705243">
        <w:rPr>
          <w:lang w:eastAsia="en-US"/>
        </w:rPr>
        <w:t>Because of these issues, poverty researchers are often unable to access the data they need for their research altogether. The lengthy and unpredictable timelines to approval are especially significant as a barrier here, because most researchers have to work to project schedules that are impractically served by a process that can take the better part of a year or longer to complete.</w:t>
      </w:r>
    </w:p>
    <w:p w:rsidR="00841012" w:rsidP="00705243">
      <w:pPr>
        <w:rPr>
          <w:b/>
          <w:lang w:eastAsia="en-US"/>
        </w:rPr>
      </w:pPr>
      <w:r w:rsidRPr="00C07D21">
        <w:rPr>
          <w:rFonts w:eastAsia="Calibri" w:cs="Times New Roman"/>
          <w:bCs/>
          <w:iCs/>
          <w:lang w:eastAsia="en-US"/>
        </w:rPr>
        <w:t>Although these issues affect academic researchers, they are especially salient for researchers from the third and private sectors, who generally do not have the time or resources to embark on a speculative application process that tends to be unfavourable to their particular needs for the data.</w:t>
      </w:r>
    </w:p>
    <w:p w:rsidR="00841012" w:rsidP="00705243">
      <w:pPr>
        <w:rPr>
          <w:b/>
          <w:lang w:eastAsia="en-US"/>
        </w:rPr>
      </w:pPr>
      <w:r w:rsidRPr="00C07D21">
        <w:rPr>
          <w:rFonts w:eastAsia="Calibri" w:cs="Times New Roman"/>
          <w:bCs/>
          <w:iCs/>
          <w:lang w:eastAsia="en-US"/>
        </w:rPr>
        <w:t>Yet, these groups can be among the most important to strategically involve evaluation of the Strategy. They include organisations conducting on-the-ground work to support households out of poverty. Their interventions can also be the most innovative and holistically minded.</w:t>
      </w:r>
    </w:p>
    <w:p w:rsidR="00841012" w:rsidP="00705243">
      <w:pPr>
        <w:rPr>
          <w:b/>
          <w:lang w:eastAsia="en-US"/>
        </w:rPr>
      </w:pPr>
      <w:r w:rsidRPr="00C07D21">
        <w:rPr>
          <w:rFonts w:eastAsia="Calibri" w:cs="Times New Roman"/>
          <w:bCs/>
          <w:iCs/>
          <w:lang w:eastAsia="en-US"/>
        </w:rPr>
        <w:t>For organisations working directly with households experiencing poverty, effective evaluation typically requires the ability to target services for specific groups in specific areas where need is greatest, and assess the impact of interventions for a defined population relative to a robust comparison group.</w:t>
      </w:r>
    </w:p>
    <w:p w:rsidR="00841012" w:rsidP="00705243">
      <w:pPr>
        <w:rPr>
          <w:b/>
          <w:lang w:eastAsia="en-US"/>
        </w:rPr>
      </w:pPr>
      <w:r w:rsidRPr="00C07D21">
        <w:rPr>
          <w:rFonts w:eastAsia="Calibri" w:cs="Times New Roman"/>
          <w:bCs/>
          <w:iCs/>
          <w:lang w:eastAsia="en-US"/>
        </w:rPr>
        <w:t>Achieving these objectives usually requires having data with multiple demographic characteristics at a relatively small geographical level, often local authority areas. Publicly available datasets usually leave out at least one of those factors due to concerns around statistical disclosure of small groups. While this is a valid concern, the present lack of alternative pathways to accessing this information leaves many frontline services incapable of being properly evaluated or targeted. Opening up additiona</w:t>
      </w:r>
      <w:r w:rsidRPr="00C07D21">
        <w:rPr>
          <w:rFonts w:eastAsia="Calibri" w:cs="Times New Roman"/>
          <w:bCs/>
          <w:iCs/>
          <w:lang w:eastAsia="en-US"/>
        </w:rPr>
        <w:t>l access routes to this data would therefore help facilitate agile analyses of what works to alleviate child poverty.</w:t>
      </w:r>
    </w:p>
    <w:p w:rsidR="00841012" w:rsidP="00705243">
      <w:pPr>
        <w:rPr>
          <w:b/>
          <w:lang w:eastAsia="en-US"/>
        </w:rPr>
      </w:pPr>
      <w:r w:rsidRPr="00C07D21">
        <w:rPr>
          <w:rFonts w:eastAsia="Calibri" w:cs="Times New Roman"/>
          <w:bCs/>
          <w:iCs/>
          <w:lang w:eastAsia="en-US"/>
        </w:rPr>
        <w:t xml:space="preserve">The government should steer the UK statistical system towards greater openness of data for the kinds of research that would benefit anti-poverty work. We recommend the development of a strategic plan to improve the ability of civil society to access data relevant to evaluating changes in child poverty. This </w:t>
      </w:r>
      <w:r>
        <w:rPr>
          <w:rFonts w:eastAsia="Calibri" w:cs="Times New Roman"/>
          <w:bCs/>
          <w:iCs/>
          <w:lang w:eastAsia="en-US"/>
        </w:rPr>
        <w:t>could</w:t>
      </w:r>
      <w:r w:rsidRPr="00C07D21">
        <w:rPr>
          <w:rFonts w:eastAsia="Calibri" w:cs="Times New Roman"/>
          <w:bCs/>
          <w:iCs/>
          <w:lang w:eastAsia="en-US"/>
        </w:rPr>
        <w:t xml:space="preserve"> include:</w:t>
      </w:r>
    </w:p>
    <w:p w:rsidR="00841012" w:rsidRPr="00705243" w:rsidP="00AE2BDC">
      <w:pPr>
        <w:numPr>
          <w:ilvl w:val="2"/>
          <w:numId w:val="31"/>
        </w:numPr>
        <w:ind w:left="1134"/>
        <w:rPr>
          <w:rFonts w:ascii="Arial" w:hAnsi="Arial"/>
          <w:b/>
          <w:lang w:eastAsia="en-US"/>
        </w:rPr>
      </w:pPr>
      <w:r w:rsidRPr="00C07D21">
        <w:rPr>
          <w:lang w:eastAsia="en-US"/>
        </w:rPr>
        <w:t>Taking steps to clarify or expand legal data access routes, as discussed in paragraphs 2.</w:t>
      </w:r>
      <w:r>
        <w:rPr>
          <w:lang w:eastAsia="en-US"/>
        </w:rPr>
        <w:t>1.</w:t>
      </w:r>
      <w:r w:rsidRPr="00C07D21">
        <w:rPr>
          <w:lang w:eastAsia="en-US"/>
        </w:rPr>
        <w:t>7 and 2.</w:t>
      </w:r>
      <w:r>
        <w:rPr>
          <w:lang w:eastAsia="en-US"/>
        </w:rPr>
        <w:t>1.</w:t>
      </w:r>
      <w:r w:rsidRPr="00C07D21">
        <w:rPr>
          <w:lang w:eastAsia="en-US"/>
        </w:rPr>
        <w:t>8 of this submission.</w:t>
      </w:r>
    </w:p>
    <w:p w:rsidR="00841012" w:rsidRPr="00705243" w:rsidP="00AE2BDC">
      <w:pPr>
        <w:numPr>
          <w:ilvl w:val="2"/>
          <w:numId w:val="31"/>
        </w:numPr>
        <w:ind w:left="1134"/>
        <w:rPr>
          <w:rFonts w:ascii="Arial" w:hAnsi="Arial"/>
          <w:b/>
          <w:lang w:eastAsia="en-US"/>
        </w:rPr>
      </w:pPr>
      <w:r w:rsidRPr="00705243">
        <w:rPr>
          <w:rFonts w:eastAsia="Calibri" w:cs="Times New Roman"/>
          <w:bCs/>
          <w:iCs/>
          <w:lang w:eastAsia="en-US"/>
        </w:rPr>
        <w:t>Seeking more ambitious implementation of existing tools for access to public data, such as DWP’s Stat-Xplore. Their scope could be expanded to include the publication of data that go beyond those found in official statistics with a view to enabling the kinds of poverty analyses that users demand most often.</w:t>
      </w:r>
    </w:p>
    <w:p w:rsidR="00841012" w:rsidRPr="00705243" w:rsidP="00AE2BDC">
      <w:pPr>
        <w:numPr>
          <w:ilvl w:val="2"/>
          <w:numId w:val="31"/>
        </w:numPr>
        <w:ind w:left="1134"/>
        <w:rPr>
          <w:rFonts w:ascii="Arial" w:hAnsi="Arial"/>
          <w:b/>
          <w:lang w:eastAsia="en-US"/>
        </w:rPr>
      </w:pPr>
      <w:r w:rsidRPr="00705243">
        <w:rPr>
          <w:rFonts w:eastAsia="Calibri" w:cs="Times New Roman"/>
          <w:bCs/>
          <w:iCs/>
          <w:lang w:eastAsia="en-US"/>
        </w:rPr>
        <w:t>Investing in expansion of models like the DWP’s Employment Data Lab or HMRC’s Datalab, to allow them to scale up their services and play a more central role in supporting users of poverty data.</w:t>
      </w:r>
    </w:p>
    <w:p w:rsidR="00841012" w:rsidRPr="00705243" w:rsidP="00AE2BDC">
      <w:pPr>
        <w:numPr>
          <w:ilvl w:val="2"/>
          <w:numId w:val="31"/>
        </w:numPr>
        <w:ind w:left="1134"/>
        <w:rPr>
          <w:rFonts w:ascii="Arial" w:hAnsi="Arial"/>
          <w:b/>
          <w:lang w:eastAsia="en-US"/>
        </w:rPr>
      </w:pPr>
      <w:r w:rsidRPr="00705243">
        <w:rPr>
          <w:rFonts w:eastAsia="Calibri" w:cs="Times New Roman"/>
          <w:bCs/>
          <w:iCs/>
          <w:lang w:eastAsia="en-US"/>
        </w:rPr>
        <w:t>Directing departments that control poverty-relevant data to take specific actions to facilitate public-interest research. Such actions could include:</w:t>
      </w:r>
    </w:p>
    <w:p w:rsidR="00841012" w:rsidP="00AE2BDC">
      <w:pPr>
        <w:numPr>
          <w:ilvl w:val="3"/>
          <w:numId w:val="33"/>
        </w:numPr>
        <w:ind w:left="1560"/>
        <w:rPr>
          <w:lang w:eastAsia="en-US"/>
        </w:rPr>
      </w:pPr>
      <w:r w:rsidRPr="00705243">
        <w:rPr>
          <w:lang w:eastAsia="en-US"/>
        </w:rPr>
        <w:t>TREs like the ONS Secure Research Service and departmental data owners developing fast-track application routes to allow organisations with proven records of secure data handling to get the data they need faster.</w:t>
      </w:r>
    </w:p>
    <w:p w:rsidR="00841012" w:rsidRPr="00705243" w:rsidP="00AE2BDC">
      <w:pPr>
        <w:numPr>
          <w:ilvl w:val="3"/>
          <w:numId w:val="33"/>
        </w:numPr>
        <w:ind w:left="1560"/>
        <w:rPr>
          <w:rFonts w:ascii="Arial" w:hAnsi="Arial"/>
          <w:lang w:eastAsia="en-US"/>
        </w:rPr>
      </w:pPr>
      <w:r w:rsidRPr="00705243">
        <w:rPr>
          <w:rFonts w:eastAsia="Calibri" w:cs="Times New Roman"/>
          <w:bCs/>
          <w:iCs/>
          <w:lang w:eastAsia="en-US"/>
        </w:rPr>
        <w:t>Enabling more exploratory or speculative project applications for accessing data in TREs to be approved, relaxing the requirements for projects to be thoroughly developed prior to even seeing the data. </w:t>
      </w:r>
    </w:p>
    <w:p w:rsidR="00841012" w:rsidRPr="00B43B5B" w:rsidP="00AE2BDC">
      <w:pPr>
        <w:numPr>
          <w:ilvl w:val="3"/>
          <w:numId w:val="33"/>
        </w:numPr>
        <w:ind w:left="1560"/>
        <w:rPr>
          <w:rFonts w:ascii="Arial" w:hAnsi="Arial"/>
          <w:lang w:eastAsia="en-US"/>
        </w:rPr>
      </w:pPr>
      <w:r w:rsidRPr="00705243">
        <w:rPr>
          <w:rFonts w:eastAsia="Calibri" w:cs="Times New Roman"/>
          <w:bCs/>
          <w:iCs/>
          <w:lang w:eastAsia="en-US"/>
        </w:rPr>
        <w:t>Developing technological solutions that enable less technically adept organisations to make use of available data. This could involve AI-assisted support mechanisms that help users find, use, and interpret relevant data. </w:t>
      </w:r>
    </w:p>
    <w:p w:rsidR="00841012" w:rsidP="00B43B5B">
      <w:pPr>
        <w:rPr>
          <w:b/>
          <w:lang w:eastAsia="en-US"/>
        </w:rPr>
      </w:pPr>
      <w:r w:rsidRPr="00B43B5B">
        <w:rPr>
          <w:lang w:eastAsia="en-US"/>
        </w:rPr>
        <w:t>In addition to improving access to administrative datasets, the government should also consider supporting stronger data capability among frontline organisations themselves. Many charities and local organisations collect valuable operational data through their services. These datasets often capture aspects of hardship that are not well measured in national surveys, including experiences of crisis, informal support networks, or barriers to accessing services.</w:t>
      </w:r>
    </w:p>
    <w:p w:rsidR="00841012" w:rsidP="00B43B5B">
      <w:pPr>
        <w:rPr>
          <w:b/>
          <w:lang w:eastAsia="en-US"/>
        </w:rPr>
      </w:pPr>
      <w:r w:rsidRPr="00C07D21">
        <w:rPr>
          <w:rFonts w:eastAsia="Calibri" w:cs="Times New Roman"/>
          <w:bCs/>
          <w:iCs/>
          <w:lang w:eastAsia="en-US"/>
        </w:rPr>
        <w:t>A significant challenge to using these data is that they are rarely integrated with official statistics and currently suffer from a lack of standardisation. There is a role for government to play in improving the quality of this data and facilitating best practice through the development of clear guidance, resource-sharing networks, and direct support services for organisations looking to improve their collection and use of their data. </w:t>
      </w:r>
    </w:p>
    <w:p w:rsidR="00841012" w:rsidRPr="00C07D21" w:rsidP="00B43B5B">
      <w:pPr>
        <w:rPr>
          <w:rFonts w:ascii="Arial" w:hAnsi="Arial"/>
          <w:b/>
          <w:lang w:eastAsia="en-US"/>
        </w:rPr>
      </w:pPr>
      <w:r w:rsidRPr="00C07D21">
        <w:rPr>
          <w:rFonts w:eastAsia="Calibri" w:cs="Times New Roman"/>
          <w:bCs/>
          <w:iCs/>
          <w:lang w:eastAsia="en-US"/>
        </w:rPr>
        <w:t>With appropriate, government-led guidance and investment in support infrastructure, these sources could complement official statistics and improve the evidence base for understanding child poverty locally. The long-run pay-off to investment in this space could be a wealth of data that could be analysed to provide new insights into patterns of disadvantage and what works for countering them, especially where there may be gaps in government datasets.</w:t>
      </w:r>
    </w:p>
    <w:p w:rsidR="00841012" w:rsidP="00B43B5B">
      <w:pPr>
        <w:pStyle w:val="Heading1"/>
        <w:rPr>
          <w:lang w:eastAsia="en-US"/>
        </w:rPr>
      </w:pPr>
      <w:r w:rsidRPr="00C07D21">
        <w:rPr>
          <w:lang w:eastAsia="en-US"/>
        </w:rPr>
        <w:t>Conclusion</w:t>
      </w:r>
    </w:p>
    <w:p w:rsidR="00841012" w:rsidP="00B43B5B">
      <w:pPr>
        <w:rPr>
          <w:b/>
          <w:lang w:eastAsia="en-US"/>
        </w:rPr>
      </w:pPr>
      <w:r w:rsidRPr="00B43B5B">
        <w:rPr>
          <w:lang w:eastAsia="en-US"/>
        </w:rPr>
        <w:t>The UK has a strong tradition of high-quality poverty research and an extensive statistical system capable of supporting policy evaluation. However, the effectiveness of the Child Poverty Strategy will depend in part on whether the government enables a broad community of researchers to engage with the data needed to assess its impact.</w:t>
      </w:r>
    </w:p>
    <w:p w:rsidR="00841012" w:rsidP="00B43B5B">
      <w:pPr>
        <w:rPr>
          <w:b/>
          <w:lang w:eastAsia="en-US"/>
        </w:rPr>
      </w:pPr>
      <w:r w:rsidRPr="00C07D21">
        <w:rPr>
          <w:rFonts w:eastAsia="Calibri" w:cs="Times New Roman"/>
          <w:bCs/>
          <w:iCs/>
          <w:lang w:eastAsia="en-US"/>
        </w:rPr>
        <w:t>Independent evaluation is essential for ensuring accountability, identifying what works, and refining policies over time. By improving access to data and investing in long-run expansions of the anti-poverty community’s analytical capacity, the UK can build a more robust evidence base for tackling child poverty.</w:t>
      </w:r>
    </w:p>
    <w:p w:rsidR="00841012" w:rsidRPr="00841012" w:rsidP="00B43B5B">
      <w:pPr>
        <w:rPr>
          <w:rFonts w:ascii="Arial" w:hAnsi="Arial"/>
          <w:b/>
          <w:lang w:eastAsia="en-US"/>
        </w:rPr>
      </w:pPr>
      <w:r w:rsidRPr="00C07D21">
        <w:rPr>
          <w:rFonts w:eastAsia="Calibri" w:cs="Times New Roman"/>
          <w:bCs/>
          <w:iCs/>
          <w:lang w:eastAsia="en-US"/>
        </w:rPr>
        <w:t>The RSS would welcome further engagement with the Committee</w:t>
      </w:r>
      <w:r>
        <w:rPr>
          <w:rFonts w:eastAsia="Calibri" w:cs="Times New Roman"/>
          <w:bCs/>
          <w:iCs/>
          <w:lang w:eastAsia="en-US"/>
        </w:rPr>
        <w:t>s</w:t>
      </w:r>
      <w:r w:rsidRPr="00C07D21">
        <w:rPr>
          <w:rFonts w:eastAsia="Calibri" w:cs="Times New Roman"/>
          <w:bCs/>
          <w:iCs/>
          <w:lang w:eastAsia="en-US"/>
        </w:rPr>
        <w:t xml:space="preserve"> and the Government on how the ideas in this submission could be taken forward.</w:t>
      </w:r>
    </w:p>
    <w:p w:rsidR="00841012" w:rsidRPr="00841012" w:rsidP="00841012">
      <w:pPr>
        <w:pStyle w:val="Heading2"/>
        <w:numPr>
          <w:ilvl w:val="0"/>
          <w:numId w:val="0"/>
        </w:numPr>
        <w:ind w:left="576"/>
        <w:jc w:val="right"/>
        <w:rPr>
          <w:lang w:eastAsia="en-US"/>
        </w:rPr>
      </w:pPr>
      <w:r>
        <w:rPr>
          <w:lang w:eastAsia="en-US"/>
        </w:rPr>
        <w:t>March 2026</w:t>
      </w:r>
    </w:p>
    <w:p w:rsidR="00841012" w:rsidRPr="00C07D21" w:rsidP="000731A0">
      <w:pPr>
        <w:numPr>
          <w:ilvl w:val="0"/>
          <w:numId w:val="0"/>
        </w:numPr>
        <w:spacing w:line="259" w:lineRule="auto"/>
        <w:rPr>
          <w:rFonts w:eastAsia="Calibri" w:cs="Times New Roman"/>
          <w:bCs/>
          <w:iCs/>
          <w:lang w:eastAsia="en-US"/>
        </w:rPr>
      </w:pPr>
    </w:p>
    <w:p w:rsidR="00841012" w:rsidRPr="00C07D21" w:rsidP="00B42523">
      <w:pPr>
        <w:numPr>
          <w:ilvl w:val="0"/>
          <w:numId w:val="0"/>
        </w:numPr>
        <w:ind w:left="720" w:hanging="720"/>
        <w:jc w:val="center"/>
        <w:rPr>
          <w:sz w:val="24"/>
          <w:szCs w:val="28"/>
        </w:rPr>
      </w:pPr>
    </w:p>
    <w:p w:rsidR="00841012" w:rsidRPr="00C07D21" w:rsidP="00B42523">
      <w:pPr>
        <w:numPr>
          <w:ilvl w:val="0"/>
          <w:numId w:val="0"/>
        </w:numPr>
        <w:ind w:left="720" w:hanging="720"/>
        <w:rPr>
          <w:sz w:val="24"/>
          <w:szCs w:val="28"/>
        </w:rPr>
      </w:pPr>
    </w:p>
    <w:sectPr w:rsidSect="00B42523">
      <w:headerReference w:type="default" r:id="rId9"/>
      <w:footerReference w:type="default" r:id="rId10"/>
      <w:pgSz w:w="12240" w:h="15840"/>
      <w:pgMar w:top="1440" w:right="1134" w:bottom="144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Std 47 Light Cn">
    <w:altName w:val="Calibri"/>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1012" w:rsidRPr="00841012" w:rsidP="00841012">
    <w:pPr>
      <w:pStyle w:val="Footer"/>
      <w:numPr>
        <w:ilvl w:val="0"/>
        <w:numId w:val="0"/>
      </w:num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1012" w:rsidP="00B95EC0">
    <w:pPr>
      <w:pStyle w:val="Header"/>
      <w:numPr>
        <w:ilvl w:val="0"/>
        <w:numId w:val="0"/>
      </w:numPr>
      <w:ind w:left="720" w:hanging="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F6E06"/>
    <w:multiLevelType w:val="multilevel"/>
    <w:tmpl w:val="F02084E4"/>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rPr>
        <w:rFonts w:hint="default"/>
        <w:b w:val="0"/>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2441681"/>
    <w:multiLevelType w:val="hybridMultilevel"/>
    <w:tmpl w:val="1CBE15CC"/>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5E15A5"/>
    <w:multiLevelType w:val="multilevel"/>
    <w:tmpl w:val="17B27720"/>
    <w:lvl w:ilvl="0">
      <w:start w:val="1"/>
      <w:numFmt w:val="decimal"/>
      <w:lvlText w:val="%1."/>
      <w:lvlJc w:val="left"/>
      <w:pPr>
        <w:ind w:left="1778" w:hanging="360"/>
      </w:pPr>
      <w:rPr>
        <w:b w:val="0"/>
        <w:bCs w:val="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126406"/>
    <w:multiLevelType w:val="multilevel"/>
    <w:tmpl w:val="2D06B30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3937BC"/>
    <w:multiLevelType w:val="multilevel"/>
    <w:tmpl w:val="DF7C1F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3A598A"/>
    <w:multiLevelType w:val="multilevel"/>
    <w:tmpl w:val="F02084E4"/>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rPr>
        <w:rFonts w:hint="default"/>
        <w:b w:val="0"/>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C6E0E97"/>
    <w:multiLevelType w:val="multilevel"/>
    <w:tmpl w:val="DD12A46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44397CC7"/>
    <w:multiLevelType w:val="multilevel"/>
    <w:tmpl w:val="69347E3C"/>
    <w:lvl w:ilvl="0">
      <w:start w:val="1"/>
      <w:numFmt w:val="decimal"/>
      <w:pStyle w:val="Heading1"/>
      <w:lvlText w:val="%1"/>
      <w:lvlJc w:val="left"/>
      <w:pPr>
        <w:ind w:left="432" w:hanging="432"/>
      </w:pPr>
      <w:rPr>
        <w:rFonts w:hint="default"/>
        <w:b/>
        <w:bCs/>
      </w:rPr>
    </w:lvl>
    <w:lvl w:ilvl="1">
      <w:start w:val="1"/>
      <w:numFmt w:val="decimal"/>
      <w:pStyle w:val="Heading2"/>
      <w:lvlText w:val="%1.%2"/>
      <w:lvlJc w:val="left"/>
      <w:pPr>
        <w:ind w:left="576" w:hanging="576"/>
      </w:pPr>
      <w:rPr>
        <w:rFonts w:hint="default"/>
      </w:rPr>
    </w:lvl>
    <w:lvl w:ilvl="2">
      <w:start w:val="1"/>
      <w:numFmt w:val="decimal"/>
      <w:pStyle w:val="Normal"/>
      <w:lvlText w:val="%1.%2.%3"/>
      <w:lvlJc w:val="left"/>
      <w:pPr>
        <w:ind w:left="720" w:hanging="720"/>
      </w:pPr>
      <w:rPr>
        <w:rFonts w:ascii="Frutiger LT Std 47 Light Cn" w:hAnsi="Frutiger LT Std 47 Light Cn" w:hint="default"/>
        <w:b w:val="0"/>
        <w:bCs w:val="0"/>
      </w:rPr>
    </w:lvl>
    <w:lvl w:ilvl="3">
      <w:start w:val="1"/>
      <w:numFmt w:val="decimal"/>
      <w:pStyle w:val="Heading4"/>
      <w:lvlText w:val="%1.%2.%3.%4"/>
      <w:lvlJc w:val="left"/>
      <w:pPr>
        <w:ind w:left="864" w:hanging="864"/>
      </w:pPr>
      <w:rPr>
        <w:rFonts w:hint="default"/>
        <w:b w:val="0"/>
        <w:b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45DF4841"/>
    <w:multiLevelType w:val="hybridMultilevel"/>
    <w:tmpl w:val="8564B8E0"/>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177573"/>
    <w:multiLevelType w:val="hybridMultilevel"/>
    <w:tmpl w:val="2304AC5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0">
    <w:nsid w:val="47F71D16"/>
    <w:multiLevelType w:val="multilevel"/>
    <w:tmpl w:val="2544138C"/>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bullet"/>
      <w:lvlText w:val=""/>
      <w:lvlJc w:val="left"/>
      <w:pPr>
        <w:ind w:left="360" w:hanging="360"/>
      </w:pPr>
      <w:rPr>
        <w:rFonts w:ascii="Symbol" w:hAnsi="Symbol" w:hint="default"/>
      </w:rPr>
    </w:lvl>
    <w:lvl w:ilvl="3">
      <w:start w:val="1"/>
      <w:numFmt w:val="bullet"/>
      <w:lvlText w:val="o"/>
      <w:lvlJc w:val="left"/>
      <w:pPr>
        <w:ind w:left="360" w:hanging="360"/>
      </w:pPr>
      <w:rPr>
        <w:rFonts w:ascii="Courier New" w:hAnsi="Courier New" w:cs="Courier New"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D9631B1"/>
    <w:multiLevelType w:val="hybridMultilevel"/>
    <w:tmpl w:val="0B84278C"/>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12">
    <w:nsid w:val="4F72FBE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13F9BE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BC10B1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FEC3780"/>
    <w:multiLevelType w:val="hybridMultilevel"/>
    <w:tmpl w:val="B9048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48087B"/>
    <w:multiLevelType w:val="multilevel"/>
    <w:tmpl w:val="1DD609E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0F37E4"/>
    <w:multiLevelType w:val="hybridMultilevel"/>
    <w:tmpl w:val="CE96F56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8">
    <w:nsid w:val="723B12AF"/>
    <w:multiLevelType w:val="multilevel"/>
    <w:tmpl w:val="F02084E4"/>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rPr>
        <w:rFonts w:hint="default"/>
        <w:b w:val="0"/>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7588211A"/>
    <w:multiLevelType w:val="multilevel"/>
    <w:tmpl w:val="F02084E4"/>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rPr>
        <w:rFonts w:hint="default"/>
        <w:b w:val="0"/>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770123DB"/>
    <w:multiLevelType w:val="multilevel"/>
    <w:tmpl w:val="EE3292F0"/>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7AD811B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B216C22"/>
    <w:multiLevelType w:val="hybridMultilevel"/>
    <w:tmpl w:val="3646868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num w:numId="1">
    <w:abstractNumId w:val="7"/>
  </w:num>
  <w:num w:numId="2">
    <w:abstractNumId w:val="7"/>
  </w:num>
  <w:num w:numId="3">
    <w:abstractNumId w:val="1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21"/>
  </w:num>
  <w:num w:numId="9">
    <w:abstractNumId w:val="1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9"/>
  </w:num>
  <w:num w:numId="16">
    <w:abstractNumId w:val="17"/>
  </w:num>
  <w:num w:numId="17">
    <w:abstractNumId w:val="11"/>
  </w:num>
  <w:num w:numId="18">
    <w:abstractNumId w:val="20"/>
  </w:num>
  <w:num w:numId="1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
  </w:num>
  <w:num w:numId="22">
    <w:abstractNumId w:val="4"/>
    <w:lvlOverride w:ilvl="0">
      <w:lvl w:ilvl="0">
        <w:start w:val="0"/>
        <w:numFmt w:val="decimal"/>
        <w:lvlText w:val="%1."/>
        <w:lvlJc w:val="left"/>
      </w:lvl>
    </w:lvlOverride>
  </w:num>
  <w:num w:numId="23">
    <w:abstractNumId w:val="16"/>
  </w:num>
  <w:num w:numId="24">
    <w:abstractNumId w:val="16"/>
    <w:lvlOverride w:ilvl="0">
      <w:lvl w:ilvl="0">
        <w:start w:val="0"/>
        <w:numFmt w:val="decimal"/>
        <w:lvlText w:val="%1."/>
        <w:lvlJc w:val="left"/>
      </w:lvl>
    </w:lvlOverride>
  </w:num>
  <w:num w:numId="25">
    <w:abstractNumId w:val="3"/>
  </w:num>
  <w:num w:numId="26">
    <w:abstractNumId w:val="3"/>
    <w:lvlOverride w:ilvl="0">
      <w:lvl w:ilvl="0">
        <w:start w:val="0"/>
        <w:numFmt w:val="decimal"/>
        <w:lvlText w:val="%1."/>
        <w:lvlJc w:val="left"/>
      </w:lvl>
    </w:lvlOverride>
  </w:num>
  <w:num w:numId="27">
    <w:abstractNumId w:val="8"/>
  </w:num>
  <w:num w:numId="28">
    <w:abstractNumId w:val="1"/>
  </w:num>
  <w:num w:numId="29">
    <w:abstractNumId w:val="19"/>
  </w:num>
  <w:num w:numId="30">
    <w:abstractNumId w:val="0"/>
  </w:num>
  <w:num w:numId="31">
    <w:abstractNumId w:val="18"/>
  </w:num>
  <w:num w:numId="32">
    <w:abstractNumId w:val="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3B5B"/>
    <w:pPr>
      <w:numPr>
        <w:ilvl w:val="2"/>
        <w:numId w:val="2"/>
      </w:numPr>
      <w:spacing w:before="240" w:after="240" w:line="360" w:lineRule="auto"/>
    </w:pPr>
    <w:rPr>
      <w:rFonts w:ascii="Frutiger LT Std 47 Light Cn" w:hAnsi="Frutiger LT Std 47 Light Cn"/>
      <w:sz w:val="22"/>
      <w:lang w:val="en-GB"/>
    </w:rPr>
  </w:style>
  <w:style w:type="paragraph" w:styleId="Heading1">
    <w:name w:val="heading 1"/>
    <w:basedOn w:val="Normal"/>
    <w:next w:val="Normal"/>
    <w:uiPriority w:val="9"/>
    <w:qFormat/>
    <w:rsid w:val="00013DAE"/>
    <w:pPr>
      <w:keepNext/>
      <w:keepLines/>
      <w:numPr>
        <w:ilvl w:val="0"/>
      </w:numPr>
      <w:spacing w:before="120" w:after="120"/>
      <w:outlineLvl w:val="0"/>
    </w:pPr>
    <w:rPr>
      <w:b/>
      <w:sz w:val="24"/>
      <w:szCs w:val="48"/>
    </w:rPr>
  </w:style>
  <w:style w:type="paragraph" w:styleId="Heading2">
    <w:name w:val="heading 2"/>
    <w:basedOn w:val="Normal"/>
    <w:next w:val="Normal"/>
    <w:link w:val="Heading2Char"/>
    <w:uiPriority w:val="9"/>
    <w:unhideWhenUsed/>
    <w:qFormat/>
    <w:rsid w:val="004E12CE"/>
    <w:pPr>
      <w:keepNext/>
      <w:keepLines/>
      <w:numPr>
        <w:ilvl w:val="1"/>
      </w:numPr>
      <w:spacing w:before="360" w:after="80"/>
      <w:outlineLvl w:val="1"/>
    </w:pPr>
    <w:rPr>
      <w:b/>
      <w:bCs/>
      <w:i/>
      <w:szCs w:val="36"/>
    </w:rPr>
  </w:style>
  <w:style w:type="paragraph" w:styleId="Heading3">
    <w:name w:val="heading 3"/>
    <w:basedOn w:val="Normal"/>
    <w:next w:val="Normal"/>
    <w:uiPriority w:val="9"/>
    <w:unhideWhenUsed/>
    <w:qFormat/>
    <w:rsid w:val="009F7B3D"/>
    <w:pPr>
      <w:numPr>
        <w:ilvl w:val="0"/>
        <w:numId w:val="0"/>
      </w:numPr>
      <w:outlineLvl w:val="2"/>
    </w:pPr>
    <w:rPr>
      <w:i/>
      <w:iCs/>
      <w:u w:val="single"/>
    </w:rPr>
  </w:style>
  <w:style w:type="paragraph" w:styleId="Heading4">
    <w:name w:val="heading 4"/>
    <w:basedOn w:val="Normal"/>
    <w:next w:val="Normal"/>
    <w:uiPriority w:val="9"/>
    <w:unhideWhenUsed/>
    <w:qFormat/>
    <w:rsid w:val="00106E98"/>
    <w:pPr>
      <w:keepNext/>
      <w:keepLines/>
      <w:numPr>
        <w:ilvl w:val="3"/>
      </w:numPr>
      <w:spacing w:before="120" w:after="0"/>
      <w:ind w:left="1582" w:hanging="862"/>
      <w:outlineLvl w:val="3"/>
    </w:pPr>
  </w:style>
  <w:style w:type="paragraph" w:styleId="Heading5">
    <w:name w:val="heading 5"/>
    <w:basedOn w:val="Normal"/>
    <w:next w:val="Normal"/>
    <w:uiPriority w:val="9"/>
    <w:unhideWhenUsed/>
    <w:qFormat/>
    <w:rsid w:val="00106E98"/>
    <w:pPr>
      <w:keepNext/>
      <w:keepLines/>
      <w:numPr>
        <w:ilvl w:val="4"/>
      </w:numPr>
      <w:spacing w:before="220" w:after="40"/>
      <w:ind w:left="2448"/>
      <w:outlineLvl w:val="4"/>
    </w:pPr>
    <w:rPr>
      <w:szCs w:val="22"/>
    </w:rPr>
  </w:style>
  <w:style w:type="paragraph" w:styleId="Heading6">
    <w:name w:val="heading 6"/>
    <w:basedOn w:val="Normal"/>
    <w:next w:val="Normal"/>
    <w:uiPriority w:val="9"/>
    <w:unhideWhenUsed/>
    <w:qFormat/>
    <w:pPr>
      <w:keepNext/>
      <w:keepLines/>
      <w:numPr>
        <w:ilvl w:val="5"/>
      </w:numPr>
      <w:spacing w:before="200" w:after="40"/>
      <w:outlineLvl w:val="5"/>
    </w:pPr>
    <w:rPr>
      <w:b/>
      <w:sz w:val="20"/>
      <w:szCs w:val="20"/>
    </w:rPr>
  </w:style>
  <w:style w:type="paragraph" w:styleId="Heading7">
    <w:name w:val="heading 7"/>
    <w:basedOn w:val="Normal"/>
    <w:next w:val="Normal"/>
    <w:link w:val="Heading7Char"/>
    <w:uiPriority w:val="9"/>
    <w:unhideWhenUsed/>
    <w:qFormat/>
    <w:rsid w:val="009F7B3D"/>
    <w:pPr>
      <w:keepNext/>
      <w:keepLines/>
      <w:numPr>
        <w:ilvl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9F7B3D"/>
    <w:pPr>
      <w:keepNext/>
      <w:keepLines/>
      <w:numPr>
        <w:ilvl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F7B3D"/>
    <w:pPr>
      <w:keepNext/>
      <w:keepLines/>
      <w:numPr>
        <w:ilvl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520BA"/>
    <w:pPr>
      <w:contextualSpacing/>
    </w:pPr>
  </w:style>
  <w:style w:type="paragraph" w:styleId="Header">
    <w:name w:val="header"/>
    <w:basedOn w:val="Normal"/>
    <w:link w:val="HeaderChar"/>
    <w:uiPriority w:val="99"/>
    <w:unhideWhenUsed/>
    <w:rsid w:val="00221E4C"/>
    <w:pPr>
      <w:tabs>
        <w:tab w:val="center" w:pos="4513"/>
        <w:tab w:val="right" w:pos="9026"/>
      </w:tabs>
    </w:pPr>
  </w:style>
  <w:style w:type="character" w:customStyle="1" w:styleId="HeaderChar">
    <w:name w:val="Header Char"/>
    <w:basedOn w:val="DefaultParagraphFont"/>
    <w:link w:val="Header"/>
    <w:uiPriority w:val="99"/>
    <w:rsid w:val="00221E4C"/>
  </w:style>
  <w:style w:type="paragraph" w:styleId="Footer">
    <w:name w:val="footer"/>
    <w:basedOn w:val="Normal"/>
    <w:link w:val="FooterChar"/>
    <w:uiPriority w:val="99"/>
    <w:unhideWhenUsed/>
    <w:rsid w:val="00221E4C"/>
    <w:pPr>
      <w:tabs>
        <w:tab w:val="center" w:pos="4513"/>
        <w:tab w:val="right" w:pos="9026"/>
      </w:tabs>
    </w:pPr>
  </w:style>
  <w:style w:type="character" w:customStyle="1" w:styleId="FooterChar">
    <w:name w:val="Footer Char"/>
    <w:basedOn w:val="DefaultParagraphFont"/>
    <w:link w:val="Footer"/>
    <w:uiPriority w:val="99"/>
    <w:rsid w:val="00221E4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basedOn w:val="Normal"/>
    <w:uiPriority w:val="1"/>
    <w:qFormat/>
    <w:rsid w:val="00150CEA"/>
    <w:pPr>
      <w:pBdr>
        <w:top w:val="nil"/>
        <w:left w:val="nil"/>
        <w:bottom w:val="nil"/>
        <w:right w:val="nil"/>
        <w:between w:val="nil"/>
      </w:pBdr>
    </w:pPr>
    <w:rPr>
      <w:rFonts w:eastAsia="Arial" w:cs="Arial"/>
      <w:color w:val="000000"/>
      <w:szCs w:val="22"/>
    </w:rPr>
  </w:style>
  <w:style w:type="character" w:customStyle="1" w:styleId="Heading2Char">
    <w:name w:val="Heading 2 Char"/>
    <w:basedOn w:val="DefaultParagraphFont"/>
    <w:link w:val="Heading2"/>
    <w:uiPriority w:val="9"/>
    <w:rsid w:val="004E12CE"/>
    <w:rPr>
      <w:rFonts w:ascii="Arial" w:hAnsi="Arial"/>
      <w:b/>
      <w:bCs/>
      <w:i/>
      <w:sz w:val="22"/>
      <w:szCs w:val="36"/>
      <w:lang w:val="en-GB"/>
    </w:rPr>
  </w:style>
  <w:style w:type="character" w:styleId="Hyperlink">
    <w:name w:val="Hyperlink"/>
    <w:basedOn w:val="DefaultParagraphFont"/>
    <w:uiPriority w:val="99"/>
    <w:unhideWhenUsed/>
    <w:rsid w:val="001165AA"/>
    <w:rPr>
      <w:color w:val="0000FF" w:themeColor="hyperlink"/>
      <w:u w:val="single"/>
    </w:rPr>
  </w:style>
  <w:style w:type="paragraph" w:styleId="FootnoteText">
    <w:name w:val="footnote text"/>
    <w:basedOn w:val="Normal"/>
    <w:link w:val="FootnoteTextChar"/>
    <w:uiPriority w:val="99"/>
    <w:semiHidden/>
    <w:unhideWhenUsed/>
    <w:rsid w:val="001165AA"/>
    <w:pPr>
      <w:spacing w:before="0" w:after="0" w:line="240" w:lineRule="auto"/>
    </w:pPr>
    <w:rPr>
      <w:rFonts w:eastAsiaTheme="minorHAnsi" w:cs="Arial"/>
      <w:sz w:val="20"/>
      <w:szCs w:val="20"/>
      <w:lang w:eastAsia="en-US"/>
    </w:rPr>
  </w:style>
  <w:style w:type="character" w:customStyle="1" w:styleId="FootnoteTextChar">
    <w:name w:val="Footnote Text Char"/>
    <w:basedOn w:val="DefaultParagraphFont"/>
    <w:link w:val="FootnoteText"/>
    <w:uiPriority w:val="99"/>
    <w:semiHidden/>
    <w:rsid w:val="001165AA"/>
    <w:rPr>
      <w:rFonts w:ascii="Arial" w:hAnsi="Arial" w:eastAsiaTheme="minorHAnsi" w:cs="Arial"/>
      <w:sz w:val="20"/>
      <w:szCs w:val="20"/>
      <w:lang w:val="en-GB" w:eastAsia="en-US"/>
    </w:rPr>
  </w:style>
  <w:style w:type="character" w:styleId="FootnoteReference">
    <w:name w:val="footnote reference"/>
    <w:basedOn w:val="DefaultParagraphFont"/>
    <w:uiPriority w:val="99"/>
    <w:semiHidden/>
    <w:unhideWhenUsed/>
    <w:rsid w:val="001165AA"/>
    <w:rPr>
      <w:vertAlign w:val="superscript"/>
    </w:rPr>
  </w:style>
  <w:style w:type="character" w:styleId="CommentReference">
    <w:name w:val="annotation reference"/>
    <w:basedOn w:val="DefaultParagraphFont"/>
    <w:uiPriority w:val="99"/>
    <w:semiHidden/>
    <w:unhideWhenUsed/>
    <w:rsid w:val="001165AA"/>
    <w:rPr>
      <w:sz w:val="16"/>
      <w:szCs w:val="16"/>
    </w:rPr>
  </w:style>
  <w:style w:type="paragraph" w:styleId="CommentText">
    <w:name w:val="annotation text"/>
    <w:basedOn w:val="Normal"/>
    <w:link w:val="CommentTextChar"/>
    <w:uiPriority w:val="99"/>
    <w:unhideWhenUsed/>
    <w:rsid w:val="001165AA"/>
    <w:pPr>
      <w:spacing w:before="0" w:after="160" w:line="240" w:lineRule="auto"/>
    </w:pPr>
    <w:rPr>
      <w:rFonts w:eastAsiaTheme="minorHAnsi" w:cs="Arial"/>
      <w:sz w:val="20"/>
      <w:szCs w:val="20"/>
      <w:lang w:eastAsia="en-US"/>
    </w:rPr>
  </w:style>
  <w:style w:type="character" w:customStyle="1" w:styleId="CommentTextChar">
    <w:name w:val="Comment Text Char"/>
    <w:basedOn w:val="DefaultParagraphFont"/>
    <w:link w:val="CommentText"/>
    <w:uiPriority w:val="99"/>
    <w:rsid w:val="001165AA"/>
    <w:rPr>
      <w:rFonts w:ascii="Arial" w:hAnsi="Arial" w:eastAsiaTheme="minorHAnsi" w:cs="Arial"/>
      <w:sz w:val="20"/>
      <w:szCs w:val="20"/>
      <w:lang w:val="en-GB" w:eastAsia="en-US"/>
    </w:rPr>
  </w:style>
  <w:style w:type="character" w:styleId="FollowedHyperlink">
    <w:name w:val="FollowedHyperlink"/>
    <w:basedOn w:val="DefaultParagraphFont"/>
    <w:uiPriority w:val="99"/>
    <w:semiHidden/>
    <w:unhideWhenUsed/>
    <w:rsid w:val="001165AA"/>
    <w:rPr>
      <w:color w:val="800080" w:themeColor="followedHyperlink"/>
      <w:u w:val="single"/>
    </w:rPr>
  </w:style>
  <w:style w:type="character" w:customStyle="1" w:styleId="UnresolvedMention1">
    <w:name w:val="Unresolved Mention1"/>
    <w:basedOn w:val="DefaultParagraphFont"/>
    <w:uiPriority w:val="99"/>
    <w:semiHidden/>
    <w:unhideWhenUsed/>
    <w:rsid w:val="00D05A5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F41C4"/>
    <w:pPr>
      <w:spacing w:before="240" w:after="240"/>
    </w:pPr>
    <w:rPr>
      <w:rFonts w:eastAsia="Cambria" w:cs="Cambria"/>
      <w:b/>
      <w:bCs/>
      <w:lang w:eastAsia="en-GB"/>
    </w:rPr>
  </w:style>
  <w:style w:type="character" w:customStyle="1" w:styleId="CommentSubjectChar">
    <w:name w:val="Comment Subject Char"/>
    <w:basedOn w:val="CommentTextChar"/>
    <w:link w:val="CommentSubject"/>
    <w:uiPriority w:val="99"/>
    <w:semiHidden/>
    <w:rsid w:val="00DF41C4"/>
    <w:rPr>
      <w:rFonts w:ascii="Arial" w:hAnsi="Arial" w:eastAsiaTheme="minorHAnsi" w:cs="Arial"/>
      <w:b/>
      <w:bCs/>
      <w:sz w:val="20"/>
      <w:szCs w:val="20"/>
      <w:lang w:val="en-GB" w:eastAsia="en-US"/>
    </w:rPr>
  </w:style>
  <w:style w:type="paragraph" w:styleId="Revision">
    <w:name w:val="Revision"/>
    <w:hidden/>
    <w:uiPriority w:val="99"/>
    <w:semiHidden/>
    <w:rsid w:val="002E251D"/>
    <w:rPr>
      <w:rFonts w:ascii="Arial" w:hAnsi="Arial"/>
      <w:sz w:val="22"/>
      <w:lang w:val="en-GB"/>
    </w:rPr>
  </w:style>
  <w:style w:type="paragraph" w:styleId="BalloonText">
    <w:name w:val="Balloon Text"/>
    <w:basedOn w:val="Normal"/>
    <w:link w:val="BalloonTextChar"/>
    <w:uiPriority w:val="99"/>
    <w:semiHidden/>
    <w:unhideWhenUsed/>
    <w:rsid w:val="00F54F3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F34"/>
    <w:rPr>
      <w:rFonts w:ascii="Segoe UI" w:hAnsi="Segoe UI" w:cs="Segoe UI"/>
      <w:sz w:val="18"/>
      <w:szCs w:val="18"/>
      <w:lang w:val="en-GB"/>
    </w:rPr>
  </w:style>
  <w:style w:type="character" w:customStyle="1" w:styleId="Heading7Char">
    <w:name w:val="Heading 7 Char"/>
    <w:basedOn w:val="DefaultParagraphFont"/>
    <w:link w:val="Heading7"/>
    <w:uiPriority w:val="9"/>
    <w:semiHidden/>
    <w:rsid w:val="009F7B3D"/>
    <w:rPr>
      <w:rFonts w:asciiTheme="majorHAnsi" w:eastAsiaTheme="majorEastAsia" w:hAnsiTheme="majorHAnsi" w:cstheme="majorBidi"/>
      <w:i/>
      <w:iCs/>
      <w:color w:val="243F60" w:themeColor="accent1" w:themeShade="7F"/>
      <w:sz w:val="22"/>
      <w:lang w:val="en-GB"/>
    </w:rPr>
  </w:style>
  <w:style w:type="character" w:customStyle="1" w:styleId="Heading8Char">
    <w:name w:val="Heading 8 Char"/>
    <w:basedOn w:val="DefaultParagraphFont"/>
    <w:link w:val="Heading8"/>
    <w:uiPriority w:val="9"/>
    <w:semiHidden/>
    <w:rsid w:val="009F7B3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9F7B3D"/>
    <w:rPr>
      <w:rFonts w:asciiTheme="majorHAnsi" w:eastAsiaTheme="majorEastAsia" w:hAnsiTheme="majorHAnsi" w:cstheme="majorBidi"/>
      <w:i/>
      <w:iCs/>
      <w:color w:val="272727" w:themeColor="text1" w:themeTint="D8"/>
      <w:sz w:val="21"/>
      <w:szCs w:val="21"/>
      <w:lang w:val="en-GB"/>
    </w:rPr>
  </w:style>
  <w:style w:type="character" w:customStyle="1" w:styleId="Mention1">
    <w:name w:val="Mention1"/>
    <w:basedOn w:val="DefaultParagraphFont"/>
    <w:uiPriority w:val="99"/>
    <w:unhideWhenUsed/>
    <w:rsid w:val="00655FB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U1UaOQXkYn3bzZQKJPHjQ0ldexg==">AMUW2mXMPod4C6Fw9fVVf41V0Jyt5PLrSC4mExMgc/i/qsMdAv1frPv91eRJnq6d7aYLI8iRQAGRvuIYiuFL1daOBsLgoaTdG+XuchHMUBOEgfmbHoAGbxE02Qc0h/kUlnyGl5U/0DOAn3qFQQxShs3gb294I8P8eapYfjSMTSQcXRN+InXlsZw=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db3ccb-d228-4e85-90c5-5032814b3605">
      <Terms xmlns="http://schemas.microsoft.com/office/infopath/2007/PartnerControls"/>
    </lcf76f155ced4ddcb4097134ff3c332f>
    <TaxCatchAll xmlns="d375e94a-da45-487c-9860-5cadacdc0cc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CAECC73FEECC94589A6B9C29CD274A1" ma:contentTypeVersion="20" ma:contentTypeDescription="Create a new document." ma:contentTypeScope="" ma:versionID="e461dff8fd0f811c0d29ade96f89bcb9">
  <xsd:schema xmlns:xsd="http://www.w3.org/2001/XMLSchema" xmlns:xs="http://www.w3.org/2001/XMLSchema" xmlns:p="http://schemas.microsoft.com/office/2006/metadata/properties" xmlns:ns1="http://schemas.microsoft.com/sharepoint/v3" xmlns:ns2="16db3ccb-d228-4e85-90c5-5032814b3605" xmlns:ns3="d375e94a-da45-487c-9860-5cadacdc0ccf" targetNamespace="http://schemas.microsoft.com/office/2006/metadata/properties" ma:root="true" ma:fieldsID="d43fc710b1df23bd2822f5bcdf2c566f" ns1:_="" ns2:_="" ns3:_="">
    <xsd:import namespace="http://schemas.microsoft.com/sharepoint/v3"/>
    <xsd:import namespace="16db3ccb-d228-4e85-90c5-5032814b3605"/>
    <xsd:import namespace="d375e94a-da45-487c-9860-5cadacdc0c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b3ccb-d228-4e85-90c5-5032814b3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f62ad9-f238-4bd5-97ff-bfbdf6e6c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5e94a-da45-487c-9860-5cadacdc0c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943b71-08e5-4807-8b82-7c9ac1b9d0d9}" ma:internalName="TaxCatchAll" ma:showField="CatchAllData" ma:web="d375e94a-da45-487c-9860-5cadacdc0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B93C6-BB69-488A-86D9-73C50C212C1C}">
  <ds:schemaRefs>
    <ds:schemaRef ds:uri="http://schemas.openxmlformats.org/officeDocument/2006/bibliography"/>
  </ds:schemaRefs>
</ds:datastoreItem>
</file>

<file path=customXml/itemProps2.xml><?xml version="1.0" encoding="utf-8"?>
<ds:datastoreItem xmlns:ds="http://schemas.openxmlformats.org/officeDocument/2006/customXml" ds:itemID="{257DD1CD-DE32-409B-9402-F110BF519E1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9DC48AA-D7DE-4740-B54A-B80DA85DB987}">
  <ds:schemaRefs>
    <ds:schemaRef ds:uri="http://schemas.microsoft.com/office/2006/metadata/properties"/>
    <ds:schemaRef ds:uri="http://schemas.microsoft.com/office/infopath/2007/PartnerControls"/>
    <ds:schemaRef ds:uri="16db3ccb-d228-4e85-90c5-5032814b3605"/>
    <ds:schemaRef ds:uri="d375e94a-da45-487c-9860-5cadacdc0ccf"/>
    <ds:schemaRef ds:uri="http://schemas.microsoft.com/sharepoint/v3"/>
  </ds:schemaRefs>
</ds:datastoreItem>
</file>

<file path=customXml/itemProps5.xml><?xml version="1.0" encoding="utf-8"?>
<ds:datastoreItem xmlns:ds="http://schemas.openxmlformats.org/officeDocument/2006/customXml" ds:itemID="{241B36AD-5161-43CB-880D-993A870D2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b3ccb-d228-4e85-90c5-5032814b3605"/>
    <ds:schemaRef ds:uri="d375e94a-da45-487c-9860-5cadacdc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CPS0068</dc:title>
  <cp:revision>0</cp:revision>
</cp:coreProperties>
</file>